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59E1619" wp14:paraId="5700D688" wp14:textId="4A7CD669">
      <w:pPr>
        <w:spacing w:before="240" w:beforeAutospacing="off" w:after="240" w:afterAutospacing="off"/>
        <w:jc w:val="both"/>
      </w:pPr>
      <w:r w:rsidRPr="159E1619" w:rsidR="7D2A4A76">
        <w:rPr>
          <w:rFonts w:ascii="Aptos" w:hAnsi="Aptos" w:eastAsia="Aptos" w:cs="Aptos"/>
          <w:noProof w:val="0"/>
          <w:sz w:val="24"/>
          <w:szCs w:val="24"/>
          <w:lang w:val="fr-FR"/>
        </w:rPr>
        <w:t>Date de la session</w:t>
      </w:r>
      <w:r>
        <w:br/>
      </w:r>
      <w:r w:rsidRPr="159E1619" w:rsidR="7D2A4A76">
        <w:rPr>
          <w:rFonts w:ascii="Aptos" w:hAnsi="Aptos" w:eastAsia="Aptos" w:cs="Aptos"/>
          <w:noProof w:val="0"/>
          <w:sz w:val="24"/>
          <w:szCs w:val="24"/>
          <w:lang w:val="fr-FR"/>
        </w:rPr>
        <w:t>26 février 2026</w:t>
      </w:r>
    </w:p>
    <w:p xmlns:wp14="http://schemas.microsoft.com/office/word/2010/wordml" w:rsidP="159E1619" wp14:paraId="5BD4C52F" wp14:textId="76508089">
      <w:pPr>
        <w:spacing w:before="240" w:beforeAutospacing="off" w:after="240" w:afterAutospacing="off"/>
        <w:jc w:val="both"/>
      </w:pPr>
      <w:r w:rsidRPr="159E1619" w:rsidR="7D2A4A76">
        <w:rPr>
          <w:rFonts w:ascii="Aptos" w:hAnsi="Aptos" w:eastAsia="Aptos" w:cs="Aptos"/>
          <w:noProof w:val="0"/>
          <w:sz w:val="24"/>
          <w:szCs w:val="24"/>
          <w:lang w:val="fr-FR"/>
        </w:rPr>
        <w:t>Résumé exécutif</w:t>
      </w:r>
    </w:p>
    <w:p xmlns:wp14="http://schemas.microsoft.com/office/word/2010/wordml" w:rsidP="159E1619" wp14:paraId="41F41E0A" wp14:textId="2F036840">
      <w:pPr>
        <w:spacing w:before="240" w:beforeAutospacing="off" w:after="240" w:afterAutospacing="off"/>
        <w:jc w:val="both"/>
      </w:pPr>
      <w:r w:rsidRPr="159E1619" w:rsidR="7D2A4A76">
        <w:rPr>
          <w:rFonts w:ascii="Aptos" w:hAnsi="Aptos" w:eastAsia="Aptos" w:cs="Aptos"/>
          <w:noProof w:val="0"/>
          <w:sz w:val="24"/>
          <w:szCs w:val="24"/>
          <w:lang w:val="fr-FR"/>
        </w:rPr>
        <w:t>L’objectif de la session est de comprendre l’organisation de la continuité d’activité afin d’assurer le maintien ou la reprise des activités en cas d’incident majeur. Elle présente les rôles complémentaires du plan de continuité d’activité (PCA) et du plan de reprise d’activité (PRA) dans la gestion des situations de crise. La session explique les principes d’identification des activités critiques, la définition des priorités et l’organisation des moyens de secours. Elle aborde également la gestion de crise, la coordination des acteurs et l’importance de la communication. L’ensemble vise à renforcer la capacité de l’organisation à faire face à une interruption majeure et à limiter les impacts sur l’activité.</w:t>
      </w:r>
    </w:p>
    <w:p xmlns:wp14="http://schemas.microsoft.com/office/word/2010/wordml" w:rsidP="159E1619" wp14:paraId="5306CBAB" wp14:textId="5095B95C">
      <w:pPr>
        <w:spacing w:before="240" w:beforeAutospacing="off" w:after="240" w:afterAutospacing="off"/>
        <w:jc w:val="both"/>
      </w:pPr>
      <w:r w:rsidRPr="159E1619" w:rsidR="7D2A4A76">
        <w:rPr>
          <w:rFonts w:ascii="Aptos" w:hAnsi="Aptos" w:eastAsia="Aptos" w:cs="Aptos"/>
          <w:noProof w:val="0"/>
          <w:sz w:val="24"/>
          <w:szCs w:val="24"/>
          <w:lang w:val="fr-FR"/>
        </w:rPr>
        <w:t>Temps forts de la session</w:t>
      </w:r>
    </w:p>
    <w:p xmlns:wp14="http://schemas.microsoft.com/office/word/2010/wordml" w:rsidP="159E1619" wp14:paraId="4B7C821F" wp14:textId="260326E3">
      <w:pPr>
        <w:spacing w:before="240" w:beforeAutospacing="off" w:after="240" w:afterAutospacing="off"/>
        <w:jc w:val="both"/>
        <w:rPr>
          <w:rFonts w:ascii="Aptos" w:hAnsi="Aptos" w:eastAsia="Aptos" w:cs="Aptos"/>
          <w:noProof w:val="0"/>
          <w:sz w:val="24"/>
          <w:szCs w:val="24"/>
          <w:lang w:val="fr-FR"/>
        </w:rPr>
      </w:pPr>
      <w:r w:rsidRPr="159E1619" w:rsidR="7D2A4A76">
        <w:rPr>
          <w:rFonts w:ascii="Aptos" w:hAnsi="Aptos" w:eastAsia="Aptos" w:cs="Aptos"/>
          <w:noProof w:val="0"/>
          <w:sz w:val="24"/>
          <w:szCs w:val="24"/>
          <w:lang w:val="fr-FR"/>
        </w:rPr>
        <w:t>00:</w:t>
      </w:r>
      <w:r w:rsidRPr="159E1619" w:rsidR="7D2A4A76">
        <w:rPr>
          <w:rFonts w:ascii="Aptos" w:hAnsi="Aptos" w:eastAsia="Aptos" w:cs="Aptos"/>
          <w:noProof w:val="0"/>
          <w:sz w:val="24"/>
          <w:szCs w:val="24"/>
          <w:lang w:val="fr-FR"/>
        </w:rPr>
        <w:t>00 – Introduction et objectifs de la continuité d’activité</w:t>
      </w:r>
      <w:r>
        <w:br/>
      </w:r>
      <w:r w:rsidRPr="159E1619" w:rsidR="7D2A4A76">
        <w:rPr>
          <w:rFonts w:ascii="Aptos" w:hAnsi="Aptos" w:eastAsia="Aptos" w:cs="Aptos"/>
          <w:noProof w:val="0"/>
          <w:sz w:val="24"/>
          <w:szCs w:val="24"/>
          <w:lang w:val="fr-FR"/>
        </w:rPr>
        <w:t>03:00 – Différence entre PCA et PRA</w:t>
      </w:r>
      <w:r>
        <w:br/>
      </w:r>
      <w:r w:rsidRPr="159E1619" w:rsidR="7D2A4A76">
        <w:rPr>
          <w:rFonts w:ascii="Aptos" w:hAnsi="Aptos" w:eastAsia="Aptos" w:cs="Aptos"/>
          <w:noProof w:val="0"/>
          <w:sz w:val="24"/>
          <w:szCs w:val="24"/>
          <w:lang w:val="fr-FR"/>
        </w:rPr>
        <w:t>08:</w:t>
      </w:r>
      <w:r w:rsidRPr="159E1619" w:rsidR="7D2A4A76">
        <w:rPr>
          <w:rFonts w:ascii="Aptos" w:hAnsi="Aptos" w:eastAsia="Aptos" w:cs="Aptos"/>
          <w:noProof w:val="0"/>
          <w:sz w:val="24"/>
          <w:szCs w:val="24"/>
          <w:lang w:val="fr-FR"/>
        </w:rPr>
        <w:t>00 – Identification des activités critiques</w:t>
      </w:r>
      <w:r>
        <w:br/>
      </w:r>
      <w:r w:rsidRPr="159E1619" w:rsidR="7D2A4A76">
        <w:rPr>
          <w:rFonts w:ascii="Aptos" w:hAnsi="Aptos" w:eastAsia="Aptos" w:cs="Aptos"/>
          <w:noProof w:val="0"/>
          <w:sz w:val="24"/>
          <w:szCs w:val="24"/>
          <w:lang w:val="fr-FR"/>
        </w:rPr>
        <w:t>14:00 – Définition des priorités et des scénarios de crise</w:t>
      </w:r>
      <w:r>
        <w:br/>
      </w:r>
      <w:r w:rsidRPr="159E1619" w:rsidR="7D2A4A76">
        <w:rPr>
          <w:rFonts w:ascii="Aptos" w:hAnsi="Aptos" w:eastAsia="Aptos" w:cs="Aptos"/>
          <w:noProof w:val="0"/>
          <w:sz w:val="24"/>
          <w:szCs w:val="24"/>
          <w:lang w:val="fr-FR"/>
        </w:rPr>
        <w:t>19:00 – Organisation des moyens de secours et de reprise</w:t>
      </w:r>
      <w:r>
        <w:br/>
      </w:r>
      <w:r w:rsidRPr="159E1619" w:rsidR="7D2A4A76">
        <w:rPr>
          <w:rFonts w:ascii="Aptos" w:hAnsi="Aptos" w:eastAsia="Aptos" w:cs="Aptos"/>
          <w:noProof w:val="0"/>
          <w:sz w:val="24"/>
          <w:szCs w:val="24"/>
          <w:lang w:val="fr-FR"/>
        </w:rPr>
        <w:t>25:00 – Gestion de crise et coordination des acteurs</w:t>
      </w:r>
      <w:r>
        <w:br/>
      </w:r>
      <w:r w:rsidRPr="159E1619" w:rsidR="7D2A4A76">
        <w:rPr>
          <w:rFonts w:ascii="Aptos" w:hAnsi="Aptos" w:eastAsia="Aptos" w:cs="Aptos"/>
          <w:noProof w:val="0"/>
          <w:sz w:val="24"/>
          <w:szCs w:val="24"/>
          <w:lang w:val="fr-FR"/>
        </w:rPr>
        <w:t>30:00 – Communication et bonnes pratiques de préparation</w:t>
      </w:r>
    </w:p>
    <w:p xmlns:wp14="http://schemas.microsoft.com/office/word/2010/wordml" w:rsidP="159E1619" wp14:paraId="509E6149" wp14:textId="1EA69521">
      <w:pPr>
        <w:spacing w:before="240" w:beforeAutospacing="off" w:after="240" w:afterAutospacing="off"/>
        <w:jc w:val="both"/>
      </w:pPr>
      <w:r w:rsidRPr="159E1619" w:rsidR="7D2A4A76">
        <w:rPr>
          <w:rFonts w:ascii="Aptos" w:hAnsi="Aptos" w:eastAsia="Aptos" w:cs="Aptos"/>
          <w:noProof w:val="0"/>
          <w:sz w:val="24"/>
          <w:szCs w:val="24"/>
          <w:lang w:val="fr-FR"/>
        </w:rPr>
        <w:t>Points clés de la session</w:t>
      </w:r>
    </w:p>
    <w:p xmlns:wp14="http://schemas.microsoft.com/office/word/2010/wordml" w:rsidP="159E1619" wp14:paraId="7F6DE350" wp14:textId="18DDF4B9">
      <w:pPr>
        <w:spacing w:before="240" w:beforeAutospacing="off" w:after="240" w:afterAutospacing="off"/>
        <w:jc w:val="both"/>
      </w:pPr>
      <w:r w:rsidRPr="159E1619" w:rsidR="7D2A4A76">
        <w:rPr>
          <w:rFonts w:ascii="Aptos" w:hAnsi="Aptos" w:eastAsia="Aptos" w:cs="Aptos"/>
          <w:noProof w:val="0"/>
          <w:sz w:val="24"/>
          <w:szCs w:val="24"/>
          <w:lang w:val="fr-FR"/>
        </w:rPr>
        <w:t>La continuité d’activité vise à maintenir ou reprendre rapidement les activités essentielles.</w:t>
      </w:r>
      <w:r>
        <w:br/>
      </w:r>
      <w:r w:rsidRPr="159E1619" w:rsidR="7D2A4A76">
        <w:rPr>
          <w:rFonts w:ascii="Aptos" w:hAnsi="Aptos" w:eastAsia="Aptos" w:cs="Aptos"/>
          <w:noProof w:val="0"/>
          <w:sz w:val="24"/>
          <w:szCs w:val="24"/>
          <w:lang w:val="fr-FR"/>
        </w:rPr>
        <w:t>Le PCA organise le maintien des activités en mode dégradé.</w:t>
      </w:r>
      <w:r>
        <w:br/>
      </w:r>
      <w:r w:rsidRPr="159E1619" w:rsidR="7D2A4A76">
        <w:rPr>
          <w:rFonts w:ascii="Aptos" w:hAnsi="Aptos" w:eastAsia="Aptos" w:cs="Aptos"/>
          <w:noProof w:val="0"/>
          <w:sz w:val="24"/>
          <w:szCs w:val="24"/>
          <w:lang w:val="fr-FR"/>
        </w:rPr>
        <w:t>Le PRA organise la reprise du système d’information après interruption.</w:t>
      </w:r>
      <w:r>
        <w:br/>
      </w:r>
      <w:r w:rsidRPr="159E1619" w:rsidR="7D2A4A76">
        <w:rPr>
          <w:rFonts w:ascii="Aptos" w:hAnsi="Aptos" w:eastAsia="Aptos" w:cs="Aptos"/>
          <w:noProof w:val="0"/>
          <w:sz w:val="24"/>
          <w:szCs w:val="24"/>
          <w:lang w:val="fr-FR"/>
        </w:rPr>
        <w:t>Les activités critiques doivent être identifiées et priorisées.</w:t>
      </w:r>
      <w:r>
        <w:br/>
      </w:r>
      <w:r w:rsidRPr="159E1619" w:rsidR="7D2A4A76">
        <w:rPr>
          <w:rFonts w:ascii="Aptos" w:hAnsi="Aptos" w:eastAsia="Aptos" w:cs="Aptos"/>
          <w:noProof w:val="0"/>
          <w:sz w:val="24"/>
          <w:szCs w:val="24"/>
          <w:lang w:val="fr-FR"/>
        </w:rPr>
        <w:t>Les scénarios de crise permettent d’anticiper les situations majeures.</w:t>
      </w:r>
      <w:r>
        <w:br/>
      </w:r>
      <w:r w:rsidRPr="159E1619" w:rsidR="7D2A4A76">
        <w:rPr>
          <w:rFonts w:ascii="Aptos" w:hAnsi="Aptos" w:eastAsia="Aptos" w:cs="Aptos"/>
          <w:noProof w:val="0"/>
          <w:sz w:val="24"/>
          <w:szCs w:val="24"/>
          <w:lang w:val="fr-FR"/>
        </w:rPr>
        <w:t>Des moyens techniques et organisationnels doivent être prévus pour assurer la continuité.</w:t>
      </w:r>
      <w:r>
        <w:br/>
      </w:r>
      <w:r w:rsidRPr="159E1619" w:rsidR="7D2A4A76">
        <w:rPr>
          <w:rFonts w:ascii="Aptos" w:hAnsi="Aptos" w:eastAsia="Aptos" w:cs="Aptos"/>
          <w:noProof w:val="0"/>
          <w:sz w:val="24"/>
          <w:szCs w:val="24"/>
          <w:lang w:val="fr-FR"/>
        </w:rPr>
        <w:t>La gestion de crise nécessite une organisation claire et des rôles définis.</w:t>
      </w:r>
      <w:r>
        <w:br/>
      </w:r>
      <w:r w:rsidRPr="159E1619" w:rsidR="7D2A4A76">
        <w:rPr>
          <w:rFonts w:ascii="Aptos" w:hAnsi="Aptos" w:eastAsia="Aptos" w:cs="Aptos"/>
          <w:noProof w:val="0"/>
          <w:sz w:val="24"/>
          <w:szCs w:val="24"/>
          <w:lang w:val="fr-FR"/>
        </w:rPr>
        <w:t>La coordination entre les acteurs est essentielle pour une reprise efficace.</w:t>
      </w:r>
      <w:r>
        <w:br/>
      </w:r>
      <w:r w:rsidRPr="159E1619" w:rsidR="7D2A4A76">
        <w:rPr>
          <w:rFonts w:ascii="Aptos" w:hAnsi="Aptos" w:eastAsia="Aptos" w:cs="Aptos"/>
          <w:noProof w:val="0"/>
          <w:sz w:val="24"/>
          <w:szCs w:val="24"/>
          <w:lang w:val="fr-FR"/>
        </w:rPr>
        <w:t>La communication interne et externe fait partie du dispositif de gestion de crise.</w:t>
      </w:r>
      <w:r>
        <w:br/>
      </w:r>
      <w:r w:rsidRPr="159E1619" w:rsidR="7D2A4A76">
        <w:rPr>
          <w:rFonts w:ascii="Aptos" w:hAnsi="Aptos" w:eastAsia="Aptos" w:cs="Aptos"/>
          <w:noProof w:val="0"/>
          <w:sz w:val="24"/>
          <w:szCs w:val="24"/>
          <w:lang w:val="fr-FR"/>
        </w:rPr>
        <w:t>La préparation et l’anticipation renforcent la résilience de l’organisation.</w:t>
      </w:r>
    </w:p>
    <w:p xmlns:wp14="http://schemas.microsoft.com/office/word/2010/wordml" w:rsidP="159E1619" wp14:paraId="586E880D" wp14:textId="214636CC">
      <w:pPr>
        <w:spacing w:before="240" w:beforeAutospacing="off" w:after="240" w:afterAutospacing="off"/>
        <w:jc w:val="both"/>
      </w:pPr>
      <w:r w:rsidRPr="159E1619" w:rsidR="7D2A4A76">
        <w:rPr>
          <w:rFonts w:ascii="Aptos" w:hAnsi="Aptos" w:eastAsia="Aptos" w:cs="Aptos"/>
          <w:noProof w:val="0"/>
          <w:sz w:val="24"/>
          <w:szCs w:val="24"/>
          <w:lang w:val="fr-FR"/>
        </w:rPr>
        <w:t>À retenir / à appliquer</w:t>
      </w:r>
    </w:p>
    <w:p xmlns:wp14="http://schemas.microsoft.com/office/word/2010/wordml" w:rsidP="159E1619" wp14:paraId="729921CE" wp14:textId="4A511514">
      <w:pPr>
        <w:spacing w:before="240" w:beforeAutospacing="off" w:after="240" w:afterAutospacing="off"/>
        <w:jc w:val="both"/>
      </w:pPr>
      <w:r w:rsidRPr="159E1619" w:rsidR="7D2A4A76">
        <w:rPr>
          <w:rFonts w:ascii="Aptos" w:hAnsi="Aptos" w:eastAsia="Aptos" w:cs="Aptos"/>
          <w:noProof w:val="0"/>
          <w:sz w:val="24"/>
          <w:szCs w:val="24"/>
          <w:lang w:val="fr-FR"/>
        </w:rPr>
        <w:t>Identifier les activités critiques et leurs dépendances.</w:t>
      </w:r>
      <w:r>
        <w:br/>
      </w:r>
      <w:r w:rsidRPr="159E1619" w:rsidR="7D2A4A76">
        <w:rPr>
          <w:rFonts w:ascii="Aptos" w:hAnsi="Aptos" w:eastAsia="Aptos" w:cs="Aptos"/>
          <w:noProof w:val="0"/>
          <w:sz w:val="24"/>
          <w:szCs w:val="24"/>
          <w:lang w:val="fr-FR"/>
        </w:rPr>
        <w:t>Définir les priorités de maintien et de reprise.</w:t>
      </w:r>
      <w:r>
        <w:br/>
      </w:r>
      <w:r w:rsidRPr="159E1619" w:rsidR="7D2A4A76">
        <w:rPr>
          <w:rFonts w:ascii="Aptos" w:hAnsi="Aptos" w:eastAsia="Aptos" w:cs="Aptos"/>
          <w:noProof w:val="0"/>
          <w:sz w:val="24"/>
          <w:szCs w:val="24"/>
          <w:lang w:val="fr-FR"/>
        </w:rPr>
        <w:t>Formaliser un PCA et un PRA adaptés aux enjeux métiers.</w:t>
      </w:r>
      <w:r>
        <w:br/>
      </w:r>
      <w:r w:rsidRPr="159E1619" w:rsidR="7D2A4A76">
        <w:rPr>
          <w:rFonts w:ascii="Aptos" w:hAnsi="Aptos" w:eastAsia="Aptos" w:cs="Aptos"/>
          <w:noProof w:val="0"/>
          <w:sz w:val="24"/>
          <w:szCs w:val="24"/>
          <w:lang w:val="fr-FR"/>
        </w:rPr>
        <w:t>Prévoir des moyens de secours techniques et organisationnels.</w:t>
      </w:r>
      <w:r>
        <w:br/>
      </w:r>
      <w:r w:rsidRPr="159E1619" w:rsidR="7D2A4A76">
        <w:rPr>
          <w:rFonts w:ascii="Aptos" w:hAnsi="Aptos" w:eastAsia="Aptos" w:cs="Aptos"/>
          <w:noProof w:val="0"/>
          <w:sz w:val="24"/>
          <w:szCs w:val="24"/>
          <w:lang w:val="fr-FR"/>
        </w:rPr>
        <w:t>Définir une organisation de gestion de crise avec des rôles clairs.</w:t>
      </w:r>
      <w:r>
        <w:br/>
      </w:r>
      <w:r w:rsidRPr="159E1619" w:rsidR="7D2A4A76">
        <w:rPr>
          <w:rFonts w:ascii="Aptos" w:hAnsi="Aptos" w:eastAsia="Aptos" w:cs="Aptos"/>
          <w:noProof w:val="0"/>
          <w:sz w:val="24"/>
          <w:szCs w:val="24"/>
          <w:lang w:val="fr-FR"/>
        </w:rPr>
        <w:t>Mettre en place un dispositif de communication en situation de crise.</w:t>
      </w:r>
      <w:r>
        <w:br/>
      </w:r>
      <w:r w:rsidRPr="159E1619" w:rsidR="7D2A4A76">
        <w:rPr>
          <w:rFonts w:ascii="Aptos" w:hAnsi="Aptos" w:eastAsia="Aptos" w:cs="Aptos"/>
          <w:noProof w:val="0"/>
          <w:sz w:val="24"/>
          <w:szCs w:val="24"/>
          <w:lang w:val="fr-FR"/>
        </w:rPr>
        <w:t>Tester régulièrement les plans pour vérifier leur efficacité.</w:t>
      </w:r>
    </w:p>
    <w:p xmlns:wp14="http://schemas.microsoft.com/office/word/2010/wordml" w:rsidP="159E1619" wp14:paraId="7C3F8ACE" wp14:textId="7BD5CCC6">
      <w:pPr>
        <w:spacing w:before="240" w:beforeAutospacing="off" w:after="240" w:afterAutospacing="off"/>
        <w:jc w:val="both"/>
      </w:pPr>
      <w:r w:rsidRPr="159E1619" w:rsidR="7D2A4A76">
        <w:rPr>
          <w:rFonts w:ascii="Aptos" w:hAnsi="Aptos" w:eastAsia="Aptos" w:cs="Aptos"/>
          <w:noProof w:val="0"/>
          <w:sz w:val="24"/>
          <w:szCs w:val="24"/>
          <w:lang w:val="fr-FR"/>
        </w:rPr>
        <w:t>Outils, méthodes ou concepts cités</w:t>
      </w:r>
    </w:p>
    <w:p xmlns:wp14="http://schemas.microsoft.com/office/word/2010/wordml" w:rsidP="159E1619" wp14:paraId="3BFEFB25" wp14:textId="14A487F1">
      <w:pPr>
        <w:spacing w:before="240" w:beforeAutospacing="off" w:after="240" w:afterAutospacing="off"/>
        <w:jc w:val="both"/>
      </w:pPr>
      <w:r w:rsidRPr="159E1619" w:rsidR="7D2A4A76">
        <w:rPr>
          <w:rFonts w:ascii="Aptos" w:hAnsi="Aptos" w:eastAsia="Aptos" w:cs="Aptos"/>
          <w:noProof w:val="0"/>
          <w:sz w:val="24"/>
          <w:szCs w:val="24"/>
          <w:lang w:val="fr-FR"/>
        </w:rPr>
        <w:t>Plan de continuité d’activité (PCA)</w:t>
      </w:r>
      <w:r>
        <w:br/>
      </w:r>
      <w:r w:rsidRPr="159E1619" w:rsidR="7D2A4A76">
        <w:rPr>
          <w:rFonts w:ascii="Aptos" w:hAnsi="Aptos" w:eastAsia="Aptos" w:cs="Aptos"/>
          <w:noProof w:val="0"/>
          <w:sz w:val="24"/>
          <w:szCs w:val="24"/>
          <w:lang w:val="fr-FR"/>
        </w:rPr>
        <w:t>Plan de reprise d’activité (PRA)</w:t>
      </w:r>
      <w:r>
        <w:br/>
      </w:r>
      <w:r w:rsidRPr="159E1619" w:rsidR="7D2A4A76">
        <w:rPr>
          <w:rFonts w:ascii="Aptos" w:hAnsi="Aptos" w:eastAsia="Aptos" w:cs="Aptos"/>
          <w:noProof w:val="0"/>
          <w:sz w:val="24"/>
          <w:szCs w:val="24"/>
          <w:lang w:val="fr-FR"/>
        </w:rPr>
        <w:t>Analyse des activités critiques</w:t>
      </w:r>
      <w:r>
        <w:br/>
      </w:r>
      <w:r w:rsidRPr="159E1619" w:rsidR="7D2A4A76">
        <w:rPr>
          <w:rFonts w:ascii="Aptos" w:hAnsi="Aptos" w:eastAsia="Aptos" w:cs="Aptos"/>
          <w:noProof w:val="0"/>
          <w:sz w:val="24"/>
          <w:szCs w:val="24"/>
          <w:lang w:val="fr-FR"/>
        </w:rPr>
        <w:t>Priorisation par criticité</w:t>
      </w:r>
      <w:r>
        <w:br/>
      </w:r>
      <w:r w:rsidRPr="159E1619" w:rsidR="7D2A4A76">
        <w:rPr>
          <w:rFonts w:ascii="Aptos" w:hAnsi="Aptos" w:eastAsia="Aptos" w:cs="Aptos"/>
          <w:noProof w:val="0"/>
          <w:sz w:val="24"/>
          <w:szCs w:val="24"/>
          <w:lang w:val="fr-FR"/>
        </w:rPr>
        <w:t>Scénarios de crise</w:t>
      </w:r>
      <w:r>
        <w:br/>
      </w:r>
      <w:r w:rsidRPr="159E1619" w:rsidR="7D2A4A76">
        <w:rPr>
          <w:rFonts w:ascii="Aptos" w:hAnsi="Aptos" w:eastAsia="Aptos" w:cs="Aptos"/>
          <w:noProof w:val="0"/>
          <w:sz w:val="24"/>
          <w:szCs w:val="24"/>
          <w:lang w:val="fr-FR"/>
        </w:rPr>
        <w:t>Organisation de gestion de crise</w:t>
      </w:r>
      <w:r>
        <w:br/>
      </w:r>
      <w:r w:rsidRPr="159E1619" w:rsidR="7D2A4A76">
        <w:rPr>
          <w:rFonts w:ascii="Aptos" w:hAnsi="Aptos" w:eastAsia="Aptos" w:cs="Aptos"/>
          <w:noProof w:val="0"/>
          <w:sz w:val="24"/>
          <w:szCs w:val="24"/>
          <w:lang w:val="fr-FR"/>
        </w:rPr>
        <w:t>Communication de crise</w:t>
      </w:r>
      <w:r>
        <w:br/>
      </w:r>
      <w:r w:rsidRPr="159E1619" w:rsidR="7D2A4A76">
        <w:rPr>
          <w:rFonts w:ascii="Aptos" w:hAnsi="Aptos" w:eastAsia="Aptos" w:cs="Aptos"/>
          <w:noProof w:val="0"/>
          <w:sz w:val="24"/>
          <w:szCs w:val="24"/>
          <w:lang w:val="fr-FR"/>
        </w:rPr>
        <w:t>Tests des plans</w:t>
      </w:r>
      <w:r>
        <w:br/>
      </w:r>
      <w:r w:rsidRPr="159E1619" w:rsidR="7D2A4A76">
        <w:rPr>
          <w:rFonts w:ascii="Aptos" w:hAnsi="Aptos" w:eastAsia="Aptos" w:cs="Aptos"/>
          <w:noProof w:val="0"/>
          <w:sz w:val="24"/>
          <w:szCs w:val="24"/>
          <w:lang w:val="fr-FR"/>
        </w:rPr>
        <w:t>Résilience organisationnelle</w:t>
      </w:r>
      <w:r>
        <w:br/>
      </w:r>
      <w:r w:rsidRPr="159E1619" w:rsidR="7D2A4A76">
        <w:rPr>
          <w:rFonts w:ascii="Aptos" w:hAnsi="Aptos" w:eastAsia="Aptos" w:cs="Aptos"/>
          <w:noProof w:val="0"/>
          <w:sz w:val="24"/>
          <w:szCs w:val="24"/>
          <w:lang w:val="fr-FR"/>
        </w:rPr>
        <w:t>Gestion des risques SSI</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FDDDD1"/>
    <w:rsid w:val="159E1619"/>
    <w:rsid w:val="31FDDDD1"/>
    <w:rsid w:val="4768E901"/>
    <w:rsid w:val="7D2A4A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C5B5E"/>
  <w15:chartTrackingRefBased/>
  <w15:docId w15:val="{BA9DB0CF-4EED-4669-A963-8ACFCA91B3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2026-02-27T01:12:57.2874737Z</dcterms:created>
  <dcterms:modified xsi:type="dcterms:W3CDTF">2026-02-27T01:15:44.7142941Z</dcterms:modified>
  <dc:creator>Milène PAUL</dc:creator>
  <lastModifiedBy>Milène PAUL</lastModifiedBy>
</coreProperties>
</file>